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6A" w:rsidRPr="00F2336A" w:rsidRDefault="00F2336A" w:rsidP="00F2336A">
      <w:pPr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"/var/folders/qk/83krns2d241bvc5jn075mjs40000gp/T/com.microsoft.Word/WebArchiveCopyPasteTempFiles/page1image3589154736"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1128395" cy="1779270"/>
            <wp:effectExtent l="0" t="0" r="1905" b="0"/>
            <wp:docPr id="42" name="Image 42" descr="page1image3589154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5891547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"/var/folders/qk/83krns2d241bvc5jn075mjs40000gp/T/com.microsoft.Word/WebArchiveCopyPasteTempFiles/page1image3589156176"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1449705" cy="445135"/>
            <wp:effectExtent l="0" t="0" r="0" b="0"/>
            <wp:docPr id="41" name="Image 41" descr="page1image3589156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5891561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color w:val="0000CC"/>
          <w:sz w:val="22"/>
          <w:szCs w:val="22"/>
          <w:lang w:eastAsia="fr-FR"/>
        </w:rPr>
        <w:t xml:space="preserve">www.alerte-medecins-pesticides.fr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b/>
          <w:bCs/>
          <w:sz w:val="36"/>
          <w:szCs w:val="36"/>
          <w:lang w:eastAsia="fr-FR"/>
        </w:rPr>
        <w:t xml:space="preserve">Lettre d'information de l'AMLP n°1 (Juin 2015)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Sommaire</w:t>
      </w:r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br/>
        <w:t xml:space="preserve">1 TAFTA : </w:t>
      </w:r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 xml:space="preserve">le commerce comme unique Loi (JP </w:t>
      </w:r>
      <w:proofErr w:type="spellStart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>Frachet</w:t>
      </w:r>
      <w:proofErr w:type="spellEnd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 xml:space="preserve"> Limoges)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2 Non à l'usage des pesticides par les 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collectivités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 locales </w:t>
      </w:r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 xml:space="preserve">(F Sarazin Granville) </w:t>
      </w:r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3 L'AMLP et les 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néonicotinoïdes</w:t>
      </w:r>
      <w:proofErr w:type="spellEnd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 xml:space="preserve">. (M Nicolle Caen)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4 Un 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médecin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 de l’association devant le Conseil de l’Ordre </w:t>
      </w:r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 xml:space="preserve">(PM </w:t>
      </w:r>
      <w:proofErr w:type="spellStart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>Périnaud</w:t>
      </w:r>
      <w:proofErr w:type="spellEnd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 xml:space="preserve"> Limoges)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5 L'Anses : l'agence est 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désormais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chargée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 des 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décisions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 d'AMM</w:t>
      </w:r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 xml:space="preserve">, qu’est-ce que </w:t>
      </w:r>
      <w:proofErr w:type="spellStart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>ça</w:t>
      </w:r>
      <w:proofErr w:type="spellEnd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>change</w:t>
      </w:r>
      <w:proofErr w:type="spellEnd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 xml:space="preserve"> ? (PM </w:t>
      </w:r>
      <w:proofErr w:type="spellStart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>Périnaud</w:t>
      </w:r>
      <w:proofErr w:type="spellEnd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 xml:space="preserve"> Limoges)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6 Pomiculteurs et riverains se mettent 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a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̀ table</w:t>
      </w:r>
      <w:proofErr w:type="gramStart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>...(</w:t>
      </w:r>
      <w:proofErr w:type="gramEnd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 xml:space="preserve">PM </w:t>
      </w:r>
      <w:proofErr w:type="spellStart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>Périnaud</w:t>
      </w:r>
      <w:proofErr w:type="spellEnd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 xml:space="preserve"> Limoges)</w:t>
      </w:r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br/>
      </w:r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7 Rubrique : « 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Faut il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 pleurer, faut-il en rire ? » </w:t>
      </w:r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 xml:space="preserve">(JP </w:t>
      </w:r>
      <w:proofErr w:type="spellStart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>Frachet</w:t>
      </w:r>
      <w:proofErr w:type="spellEnd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 xml:space="preserve">, PM </w:t>
      </w:r>
      <w:proofErr w:type="spellStart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>Périnaud</w:t>
      </w:r>
      <w:proofErr w:type="spellEnd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 xml:space="preserve">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 xml:space="preserve">Limoges)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8 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Etude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 de l'ORSE du limousin sur les pathologies de longue 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durée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 </w:t>
      </w:r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 xml:space="preserve">(ALD) MSA versus </w:t>
      </w:r>
      <w:proofErr w:type="spellStart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>Régime</w:t>
      </w:r>
      <w:proofErr w:type="spellEnd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>général</w:t>
      </w:r>
      <w:proofErr w:type="spellEnd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 xml:space="preserve"> </w:t>
      </w:r>
      <w:proofErr w:type="gramStart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>( J</w:t>
      </w:r>
      <w:proofErr w:type="gramEnd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>Maclouf</w:t>
      </w:r>
      <w:proofErr w:type="spellEnd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 xml:space="preserve"> Limoges)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9 Alimentation bio </w:t>
      </w:r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 xml:space="preserve">dans les restaurants scolaires de Tulle (S </w:t>
      </w:r>
      <w:proofErr w:type="spellStart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>Taillefer</w:t>
      </w:r>
      <w:proofErr w:type="spellEnd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 xml:space="preserve"> Tulle) </w:t>
      </w:r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10 Actions locales </w:t>
      </w:r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 xml:space="preserve">: du grain à moudre (J Maze </w:t>
      </w:r>
      <w:proofErr w:type="spellStart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>Bujaleuf</w:t>
      </w:r>
      <w:proofErr w:type="spellEnd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 xml:space="preserve">)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11 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État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 d’avancement d'une Recherche </w:t>
      </w:r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 xml:space="preserve">(service toxicologique du CHU Limoges en lien avec l'AMLP) sur la contamination des riverains par les pesticides (C Collins)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12 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Possibilite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́ d'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adhérer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 </w:t>
      </w:r>
    </w:p>
    <w:p w:rsidR="00F2336A" w:rsidRPr="00F2336A" w:rsidRDefault="00F2336A" w:rsidP="00F2336A">
      <w:pPr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Times New Roman" w:eastAsia="Times New Roman" w:hAnsi="Times New Roman" w:cs="Times New Roman"/>
          <w:lang w:eastAsia="fr-FR"/>
        </w:rPr>
        <w:lastRenderedPageBreak/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"/var/folders/qk/83krns2d241bvc5jn075mjs40000gp/T/com.microsoft.Word/WebArchiveCopyPasteTempFiles/page1image3589242928"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1853565" cy="2743200"/>
            <wp:effectExtent l="0" t="0" r="635" b="0"/>
            <wp:docPr id="40" name="Image 40" descr="page1image3589242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5892429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F2336A" w:rsidRPr="00F2336A" w:rsidRDefault="00F2336A" w:rsidP="00F2336A">
      <w:pPr>
        <w:shd w:val="clear" w:color="auto" w:fill="BFBFB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b/>
          <w:bCs/>
          <w:lang w:eastAsia="fr-FR"/>
        </w:rPr>
        <w:t xml:space="preserve">La lettre d'information de l'AMLP </w:t>
      </w:r>
    </w:p>
    <w:p w:rsidR="00F2336A" w:rsidRPr="00F2336A" w:rsidRDefault="00F2336A" w:rsidP="00F2336A">
      <w:pPr>
        <w:shd w:val="clear" w:color="auto" w:fill="BFBFB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Cette lettre sera le bulletin de liaison des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adhérents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et sera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adressée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également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aux signataires de l'Appel. Ceux d'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entre-vous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qui ne souhaiteraient plus la recevoir sont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priés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nous le signaler : </w:t>
      </w:r>
    </w:p>
    <w:p w:rsidR="00F2336A" w:rsidRPr="00F2336A" w:rsidRDefault="00F2336A" w:rsidP="00F2336A">
      <w:pPr>
        <w:shd w:val="clear" w:color="auto" w:fill="BFBFB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color w:val="00007F"/>
          <w:lang w:eastAsia="fr-FR"/>
        </w:rPr>
        <w:t xml:space="preserve">contact@alerte-medecins-pesticides.fr </w:t>
      </w:r>
    </w:p>
    <w:p w:rsidR="00F2336A" w:rsidRPr="00F2336A" w:rsidRDefault="00F2336A" w:rsidP="00F2336A">
      <w:pPr>
        <w:shd w:val="clear" w:color="auto" w:fill="BFBFBF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"/var/folders/qk/83krns2d241bvc5jn075mjs40000gp/T/com.microsoft.Word/WebArchiveCopyPasteTempFiles/page1image3629128608"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339340" cy="2743200"/>
            <wp:effectExtent l="0" t="0" r="0" b="0"/>
            <wp:docPr id="39" name="Image 39" descr="page1image3629128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36291286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F2336A" w:rsidRPr="00F2336A" w:rsidRDefault="00F2336A" w:rsidP="00F2336A">
      <w:pPr>
        <w:shd w:val="clear" w:color="auto" w:fill="BFBFB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Directeur de la publication : Pierre-Michel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Perinaud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TAFTA : le commerce comme unique Loi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Permettre la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prééminence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intérêts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sanitaires de l'ensemble de la population sur les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intérêts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commerciaux de quelques grandes firmes, comprendre qu'il est bon et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nécessaire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que des normes et des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règlements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puissent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être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édictés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en ce sens pour s'appliquer au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marche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européen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cela semble relever d'une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évidence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. Mais </w:t>
      </w:r>
      <w:r w:rsidRPr="00F2336A">
        <w:rPr>
          <w:rFonts w:ascii="LiberationSerif" w:eastAsia="Times New Roman" w:hAnsi="LiberationSerif" w:cs="Times New Roman"/>
          <w:lang w:eastAsia="fr-FR"/>
        </w:rPr>
        <w:lastRenderedPageBreak/>
        <w:t xml:space="preserve">malheureusement pas de celles qui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président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actuellement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̀ notre destin commun. Il est loin - dix ans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déja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̀ - le temps où l'on fit mine de demander l'avis des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Européens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sur les principes qui allaient fonder leur avenir. Ce fut finalement, obtenue sur le tapis vert, la « concurrence libre et non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faussée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».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Non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faussée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par les constats sur les dommages sanitaires de nombreux biocides qui nous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amènent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à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réclamer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beaucoup plus 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précautions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voire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̀ remettre en cause des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modèles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production agricole. Il faut ici mesurer le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machiavélisme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du TAFTA -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négociations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du </w:t>
      </w:r>
      <w:r w:rsidRPr="00F2336A">
        <w:rPr>
          <w:rFonts w:ascii="LiberationSerif" w:eastAsia="Times New Roman" w:hAnsi="LiberationSerif" w:cs="Times New Roman"/>
          <w:b/>
          <w:bCs/>
          <w:lang w:eastAsia="fr-FR"/>
        </w:rPr>
        <w:t>G</w:t>
      </w:r>
      <w:r w:rsidRPr="00F2336A">
        <w:rPr>
          <w:rFonts w:ascii="LiberationSerif" w:eastAsia="Times New Roman" w:hAnsi="LiberationSerif" w:cs="Times New Roman"/>
          <w:lang w:eastAsia="fr-FR"/>
        </w:rPr>
        <w:t xml:space="preserve">rand </w:t>
      </w:r>
      <w:r w:rsidRPr="00F2336A">
        <w:rPr>
          <w:rFonts w:ascii="LiberationSerif" w:eastAsia="Times New Roman" w:hAnsi="LiberationSerif" w:cs="Times New Roman"/>
          <w:b/>
          <w:bCs/>
          <w:lang w:eastAsia="fr-FR"/>
        </w:rPr>
        <w:t>M</w:t>
      </w:r>
      <w:r w:rsidRPr="00F2336A">
        <w:rPr>
          <w:rFonts w:ascii="LiberationSerif" w:eastAsia="Times New Roman" w:hAnsi="LiberationSerif" w:cs="Times New Roman"/>
          <w:lang w:eastAsia="fr-FR"/>
        </w:rPr>
        <w:t xml:space="preserve">arché </w:t>
      </w:r>
      <w:r w:rsidRPr="00F2336A">
        <w:rPr>
          <w:rFonts w:ascii="LiberationSerif" w:eastAsia="Times New Roman" w:hAnsi="LiberationSerif" w:cs="Times New Roman"/>
          <w:b/>
          <w:bCs/>
          <w:lang w:eastAsia="fr-FR"/>
        </w:rPr>
        <w:t>T</w:t>
      </w:r>
      <w:r w:rsidRPr="00F2336A">
        <w:rPr>
          <w:rFonts w:ascii="LiberationSerif" w:eastAsia="Times New Roman" w:hAnsi="LiberationSerif" w:cs="Times New Roman"/>
          <w:lang w:eastAsia="fr-FR"/>
        </w:rPr>
        <w:t>ransatlantique - qui propose d'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ériger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les firmes commerciales en procureurs au service de leurs propres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intérêts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avec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prééminence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sur les lois de nos institutions nationales et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européennes</w:t>
      </w:r>
      <w:proofErr w:type="spellEnd"/>
      <w:r w:rsidRPr="00F2336A">
        <w:rPr>
          <w:rFonts w:ascii="LiberationSerif" w:eastAsia="Times New Roman" w:hAnsi="LiberationSerif" w:cs="Times New Roman"/>
          <w:color w:val="FF0000"/>
          <w:lang w:eastAsia="fr-FR"/>
        </w:rPr>
        <w:t xml:space="preserve">. </w:t>
      </w:r>
      <w:r w:rsidRPr="00F2336A">
        <w:rPr>
          <w:rFonts w:ascii="LiberationSerif" w:eastAsia="Times New Roman" w:hAnsi="LiberationSerif" w:cs="Times New Roman"/>
          <w:lang w:eastAsia="fr-FR"/>
        </w:rPr>
        <w:t xml:space="preserve">Ces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dernières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seraient simplement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renvoyées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sur le banc des justiciables. Que resterait-il alors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̀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espérer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dans cette configuration ?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En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cohérence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avec ses objectifs, l'AMLP a rejoint le collectif STOP TAFTA et invite chacun à s'engager, à commencer par la simple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compréhension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et divulgation de ce que veut rendre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irréversible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le TAFTA : </w:t>
      </w:r>
      <w:r w:rsidRPr="00F2336A">
        <w:rPr>
          <w:rFonts w:ascii="LiberationSerif" w:eastAsia="Times New Roman" w:hAnsi="LiberationSerif" w:cs="Times New Roman"/>
          <w:color w:val="00007F"/>
          <w:lang w:eastAsia="fr-FR"/>
        </w:rPr>
        <w:t xml:space="preserve">https://www.collectifstoptafta.org/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Jean Pierre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Frachet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(Limoges)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Non à l'usage des Pesticides par les 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collectivités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 locales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Dans la Manche, l'AMLP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représentée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par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Frédérique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Sarazin dermatologue à Granville, conjointement avec une association environnementaliste "Manche Nature" a entrepris en avril 2015 une action en direction des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municipalités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et des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communautés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communes de son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département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en leur demandant d'appliquer la loi Labbé 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manière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anticipée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; cette Loi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prévoit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l'interdiction de l'utilisation des pesticides par les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collectivités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locales à partir de 2020, mesure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déja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̀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appliquée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par certaines communes dans son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département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. Suite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̀ cette action, deux maires nous ont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déja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̀ proposé l'organisation d'une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conférence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ou d'une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réunion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d'information dans leur commune et un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troisième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s'est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engage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dans la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démarche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réduction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volontaire.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color w:val="00007F"/>
          <w:lang w:eastAsia="fr-FR"/>
        </w:rPr>
        <w:t xml:space="preserve">http://manche-nature.fr/zero-pesticide-cest-possible/ http://www.villes-et-villages-sans-pesticides.fr/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Frédérique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Sarazin (Granville)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L'AMLP et les 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néonicotinoïdes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Les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néonicotinoïdes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insecticides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systémiques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sont responsables de la chute drastique du nombre des insectes, en particulier les pollinisateurs dont l'abeille domestique.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La Commission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Européenne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en Mai 2013 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décide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d'un moratoire en restreignant pour 3 d'entre eux les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modalités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leur usage et ce jusqu'en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Décembre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2015. Le sujet est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régulièrement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abordé au Parlement </w:t>
      </w:r>
      <w:proofErr w:type="gramStart"/>
      <w:r w:rsidRPr="00F2336A">
        <w:rPr>
          <w:rFonts w:ascii="LiberationSerif" w:eastAsia="Times New Roman" w:hAnsi="LiberationSerif" w:cs="Times New Roman"/>
          <w:lang w:eastAsia="fr-FR"/>
        </w:rPr>
        <w:t>( rejet</w:t>
      </w:r>
      <w:proofErr w:type="gramEnd"/>
      <w:r w:rsidRPr="00F2336A">
        <w:rPr>
          <w:rFonts w:ascii="LiberationSerif" w:eastAsia="Times New Roman" w:hAnsi="LiberationSerif" w:cs="Times New Roman"/>
          <w:lang w:eastAsia="fr-FR"/>
        </w:rPr>
        <w:t xml:space="preserve"> d'une proposition du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sénateur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Labbé en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Février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2015, demandant leur interdiction, vote en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première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lecture à l'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Assemblée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Nationale sur l'amendement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Batho-Bapt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pour une interdiction à compter du 1er Janvier 2016).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lastRenderedPageBreak/>
        <w:t xml:space="preserve">L'AMLP, par la voix de M Nicolle 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participe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à la Table Ronde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organisée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par la Commission du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Développement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Durable de l'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Assemblée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Nationale, le 6 Mai 2015, pour y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présenter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l'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état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actuel des connaissances sur les effets de ces pesticides sur la santé humaine. Le 24 juin 2015, une nouvelle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réunion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(forum citoyen initié par MM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Batho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Bapt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</w:t>
      </w:r>
      <w:proofErr w:type="spellStart"/>
      <w:proofErr w:type="gramStart"/>
      <w:r w:rsidRPr="00F2336A">
        <w:rPr>
          <w:rFonts w:ascii="LiberationSerif" w:eastAsia="Times New Roman" w:hAnsi="LiberationSerif" w:cs="Times New Roman"/>
          <w:lang w:eastAsia="fr-FR"/>
        </w:rPr>
        <w:t>Chanteguet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)</w:t>
      </w:r>
      <w:proofErr w:type="gramEnd"/>
      <w:r w:rsidRPr="00F2336A">
        <w:rPr>
          <w:rFonts w:ascii="LiberationSerif" w:eastAsia="Times New Roman" w:hAnsi="LiberationSerif" w:cs="Times New Roman"/>
          <w:lang w:eastAsia="fr-FR"/>
        </w:rPr>
        <w:t xml:space="preserve"> 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organisée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à l'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Assemblée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Nationale pour encore enrichir le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débat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et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échanger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sur le sujet ; regroupant 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façon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</w:p>
    <w:p w:rsidR="00F2336A" w:rsidRPr="00F2336A" w:rsidRDefault="00F2336A" w:rsidP="00F2336A">
      <w:pPr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Times New Roman" w:eastAsia="Times New Roman" w:hAnsi="Times New Roman" w:cs="Times New Roman"/>
          <w:lang w:eastAsia="fr-FR"/>
        </w:rPr>
        <w:lastRenderedPageBreak/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"/var/folders/qk/83krns2d241bvc5jn075mjs40000gp/T/com.microsoft.Word/WebArchiveCopyPasteTempFiles/page2image3642837328"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092325" cy="2743200"/>
            <wp:effectExtent l="0" t="0" r="3175" b="0"/>
            <wp:docPr id="38" name="Image 38" descr="page2image3642837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36428373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"/var/folders/qk/83krns2d241bvc5jn075mjs40000gp/T/com.microsoft.Word/WebArchiveCopyPasteTempFiles/page2image3642837712"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756910" cy="2583815"/>
            <wp:effectExtent l="0" t="0" r="0" b="0"/>
            <wp:docPr id="37" name="Image 37" descr="page2image3642837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36428377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"/var/folders/qk/83krns2d241bvc5jn075mjs40000gp/T/com.microsoft.Word/WebArchiveCopyPasteTempFiles/page2image3642837968"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756910" cy="2583815"/>
            <wp:effectExtent l="0" t="0" r="0" b="0"/>
            <wp:docPr id="36" name="Image 36" descr="page2image3642837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36428379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très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large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différentes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associations (apiculteurs, scientifiques, ONG...). Elle a eu pour but principal de soutenir l'Appel d'une trentaine de parlementaires à tous les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sénateurs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et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députés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à se joindre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̀ eux, pour demander </w:t>
      </w:r>
      <w:proofErr w:type="gramStart"/>
      <w:r w:rsidRPr="00F2336A">
        <w:rPr>
          <w:rFonts w:ascii="LiberationSerif" w:eastAsia="Times New Roman" w:hAnsi="LiberationSerif" w:cs="Times New Roman"/>
          <w:lang w:eastAsia="fr-FR"/>
        </w:rPr>
        <w:t>l' interdiction</w:t>
      </w:r>
      <w:proofErr w:type="gramEnd"/>
      <w:r w:rsidRPr="00F2336A">
        <w:rPr>
          <w:rFonts w:ascii="LiberationSerif" w:eastAsia="Times New Roman" w:hAnsi="LiberationSerif" w:cs="Times New Roman"/>
          <w:lang w:eastAsia="fr-FR"/>
        </w:rPr>
        <w:t xml:space="preserve"> de l'usage des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néonicotinoïdes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. L'AMLP y 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représentée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par PM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Perinaud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et M Nicolle. Ce dernier 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pressenti par </w:t>
      </w:r>
      <w:r w:rsidRPr="00F2336A">
        <w:rPr>
          <w:rFonts w:ascii="LiberationSerif" w:eastAsia="Times New Roman" w:hAnsi="LiberationSerif" w:cs="Times New Roman"/>
          <w:lang w:eastAsia="fr-FR"/>
        </w:rPr>
        <w:lastRenderedPageBreak/>
        <w:t xml:space="preserve">les membres de la </w:t>
      </w:r>
      <w:proofErr w:type="spellStart"/>
      <w:r w:rsidRPr="00F2336A">
        <w:rPr>
          <w:rFonts w:ascii="LiberationSerif" w:eastAsia="Times New Roman" w:hAnsi="LiberationSerif" w:cs="Times New Roman"/>
          <w:color w:val="00007F"/>
          <w:lang w:eastAsia="fr-FR"/>
        </w:rPr>
        <w:t>Task</w:t>
      </w:r>
      <w:proofErr w:type="spellEnd"/>
      <w:r w:rsidRPr="00F2336A">
        <w:rPr>
          <w:rFonts w:ascii="LiberationSerif" w:eastAsia="Times New Roman" w:hAnsi="LiberationSerif" w:cs="Times New Roman"/>
          <w:color w:val="00007F"/>
          <w:lang w:eastAsia="fr-FR"/>
        </w:rPr>
        <w:t xml:space="preserve"> Force on </w:t>
      </w:r>
      <w:proofErr w:type="spellStart"/>
      <w:r w:rsidRPr="00F2336A">
        <w:rPr>
          <w:rFonts w:ascii="LiberationSerif" w:eastAsia="Times New Roman" w:hAnsi="LiberationSerif" w:cs="Times New Roman"/>
          <w:color w:val="00007F"/>
          <w:lang w:eastAsia="fr-FR"/>
        </w:rPr>
        <w:t>Systemic</w:t>
      </w:r>
      <w:proofErr w:type="spellEnd"/>
      <w:r w:rsidRPr="00F2336A">
        <w:rPr>
          <w:rFonts w:ascii="LiberationSerif" w:eastAsia="Times New Roman" w:hAnsi="LiberationSerif" w:cs="Times New Roman"/>
          <w:color w:val="00007F"/>
          <w:lang w:eastAsia="fr-FR"/>
        </w:rPr>
        <w:t xml:space="preserve"> Pesticides </w:t>
      </w:r>
      <w:r w:rsidRPr="00F2336A">
        <w:rPr>
          <w:rFonts w:ascii="LiberationSerif" w:eastAsia="Times New Roman" w:hAnsi="LiberationSerif" w:cs="Times New Roman"/>
          <w:lang w:eastAsia="fr-FR"/>
        </w:rPr>
        <w:t xml:space="preserve">pour se joindre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̀ leur groupe de travail, où il parlera au nom de l'AMLP.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M Nicolle et JM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Bonmatin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ont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co-signe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un article sur les effets des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néonicotinoïdes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sur la santé humaine </w:t>
      </w:r>
      <w:r w:rsidRPr="00F2336A">
        <w:rPr>
          <w:rFonts w:ascii="LiberationSerif" w:eastAsia="Times New Roman" w:hAnsi="LiberationSerif" w:cs="Times New Roman"/>
          <w:color w:val="00007F"/>
          <w:lang w:eastAsia="fr-FR"/>
        </w:rPr>
        <w:t xml:space="preserve">dans le </w:t>
      </w:r>
      <w:proofErr w:type="spellStart"/>
      <w:r w:rsidRPr="00F2336A">
        <w:rPr>
          <w:rFonts w:ascii="LiberationSerif" w:eastAsia="Times New Roman" w:hAnsi="LiberationSerif" w:cs="Times New Roman"/>
          <w:color w:val="00007F"/>
          <w:lang w:eastAsia="fr-FR"/>
        </w:rPr>
        <w:t>numéro</w:t>
      </w:r>
      <w:proofErr w:type="spellEnd"/>
      <w:r w:rsidRPr="00F2336A">
        <w:rPr>
          <w:rFonts w:ascii="LiberationSerif" w:eastAsia="Times New Roman" w:hAnsi="LiberationSerif" w:cs="Times New Roman"/>
          <w:color w:val="00007F"/>
          <w:lang w:eastAsia="fr-FR"/>
        </w:rPr>
        <w:t xml:space="preserve"> de juin 2015 du « Journal des Apiculteurs ».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De son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côte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́, l'AMLP 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propose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à tous les signataires de son Appel de signer la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pétition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organisée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sous l'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égide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N Hulot demandant la prolongation du moratoire.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Michel Nicolle </w:t>
      </w:r>
      <w:proofErr w:type="gramStart"/>
      <w:r w:rsidRPr="00F2336A">
        <w:rPr>
          <w:rFonts w:ascii="LiberationSerif" w:eastAsia="Times New Roman" w:hAnsi="LiberationSerif" w:cs="Times New Roman"/>
          <w:lang w:eastAsia="fr-FR"/>
        </w:rPr>
        <w:t>( Caen</w:t>
      </w:r>
      <w:proofErr w:type="gramEnd"/>
      <w:r w:rsidRPr="00F2336A">
        <w:rPr>
          <w:rFonts w:ascii="LiberationSerif" w:eastAsia="Times New Roman" w:hAnsi="LiberationSerif" w:cs="Times New Roman"/>
          <w:lang w:eastAsia="fr-FR"/>
        </w:rPr>
        <w:t xml:space="preserve">)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Un 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médecin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 de l’association devant le Conseil de l’Ordre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L’association nationale Poires-Pommes (ANPP) avait transmis une plainte contre une de nos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adhérentes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le Docteur Anne-Marie SOULIÉ au Conseil de l’Ordre de la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Corrèze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. La conciliation avait lieu le vendredi 19 juin. Cette plainte avait pour objet les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déclarations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du Dr SOULIÉ au cours de l’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émission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du magazine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Envoye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Spécial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intitulée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« Peut-on encore manger des pommes ? » et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diffusée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le 5 mars 2015 sur France 2.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Émission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qui a mis le feu aux poudres dans le coin d’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Allassac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: une manifestation devant se tenir quelques semaines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après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devant des menaces de troubles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sérieux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rapportés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par la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Préfecture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et non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démenties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par les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représentants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des pomiculteurs, les organisateurs, dont nous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étions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avaient alors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décide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d’annuler l’ensemble de la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journée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. Non sans exiger du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Préfet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rassembler les protagonistes de cette histoire autour d’une table. Ce qui fut fait, mais nous en reparlerons.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Que disait donc de si scandaleux le Docteur SOULIÉ, qui s’exprimait dans le cadre de l’appel lancé par l’association « Alerte des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médecins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sur les pesticides » et signé par 1500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confrères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? Qu’elle avait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constate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́,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interrogée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en tant que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médecin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campagne dans une zone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pomicole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>, une « sorte d’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épidémie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maladies neurologiques</w:t>
      </w:r>
      <w:proofErr w:type="gramStart"/>
      <w:r w:rsidRPr="00F2336A">
        <w:rPr>
          <w:rFonts w:ascii="LiberationSerif" w:eastAsia="Times New Roman" w:hAnsi="LiberationSerif" w:cs="Times New Roman"/>
          <w:lang w:eastAsia="fr-FR"/>
        </w:rPr>
        <w:t xml:space="preserve"> »ainsi</w:t>
      </w:r>
      <w:proofErr w:type="gramEnd"/>
      <w:r w:rsidRPr="00F2336A">
        <w:rPr>
          <w:rFonts w:ascii="LiberationSerif" w:eastAsia="Times New Roman" w:hAnsi="LiberationSerif" w:cs="Times New Roman"/>
          <w:lang w:eastAsia="fr-FR"/>
        </w:rPr>
        <w:t xml:space="preserve"> qu’une franche augmentation d’autres pathologies comme les cancers de la prostate.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La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flambée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des maladies chroniques est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précisément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ce que soutenait l’Appel des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médecins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: nous ajoutions que ces constats de terrain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étaient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confortés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par les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données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scientifiques, telles que le rapport de l’Inserm de juin 2013 sur les liens entre pesticides et santé. Et affirmions qu’il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était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donc grand temps d’en tirer les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conséquences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en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matière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prévention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et de mise sur le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marche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de ces produits. Nous avons eu l'occasion maintes fois de le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répéter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depuis et n'avons pas changé d'avis. Anne-Marie n’avait pas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change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d’avis non plus devant le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Président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l’ANPP lors de la conciliation, et confirma devant ses pairs du Conseil de l’Ordre les propos tenus pour France 2.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L’ANPP a dû se rendre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>̀ l’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évidence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: les propos du Docteur SOULIÉ n’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étaient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pas contraires au code 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déontologie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>. Et par là-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même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reconnaître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que sa plainte n’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était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pas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fondée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. Mais que souhaitait-elle au fond ? Une seule chose, envoyer les sommations !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Pierre-Michel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Périnaud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Limoges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Anses : l'agence est 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désormais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chargée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 des 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décisions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 d'AMM, qu’est-ce que 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ça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change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 ?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lastRenderedPageBreak/>
        <w:t>Après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avoir critiqué vertement les avis de l'Anses concernant la protection des riverains et la mise sur le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marche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>́ d'un pesticide classé CMR 1B (*</w:t>
      </w:r>
      <w:proofErr w:type="gramStart"/>
      <w:r w:rsidRPr="00F2336A">
        <w:rPr>
          <w:rFonts w:ascii="LiberationSerif" w:eastAsia="Times New Roman" w:hAnsi="LiberationSerif" w:cs="Times New Roman"/>
          <w:lang w:eastAsia="fr-FR"/>
        </w:rPr>
        <w:t>) ,</w:t>
      </w:r>
      <w:proofErr w:type="gramEnd"/>
      <w:r w:rsidRPr="00F2336A">
        <w:rPr>
          <w:rFonts w:ascii="LiberationSerif" w:eastAsia="Times New Roman" w:hAnsi="LiberationSerif" w:cs="Times New Roman"/>
          <w:lang w:eastAsia="fr-FR"/>
        </w:rPr>
        <w:t xml:space="preserve"> nous fumes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invités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à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échanger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avec la direction de l'Agence. Ce qui continue de m'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étonner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que ce soit là ou dans les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ministères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c'est que nos questionnements sont toujours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partagés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comme s'ils n'attendaient plus que nous pour les mettre en </w:t>
      </w:r>
      <w:proofErr w:type="gramStart"/>
      <w:r w:rsidRPr="00F2336A">
        <w:rPr>
          <w:rFonts w:ascii="LiberationSerif" w:eastAsia="Times New Roman" w:hAnsi="LiberationSerif" w:cs="Times New Roman"/>
          <w:lang w:eastAsia="fr-FR"/>
        </w:rPr>
        <w:t>œuvre..</w:t>
      </w:r>
      <w:proofErr w:type="gramEnd"/>
      <w:r w:rsidRPr="00F2336A">
        <w:rPr>
          <w:rFonts w:ascii="LiberationSerif" w:eastAsia="Times New Roman" w:hAnsi="LiberationSerif" w:cs="Times New Roman"/>
          <w:lang w:eastAsia="fr-FR"/>
        </w:rPr>
        <w:t xml:space="preserve"> ...On nous proposa de candidater, ce que j'ai fait, afin de participer au groupe de travail « chargé 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définir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critères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sur la base desquels l'Agence autorisera ou non la mise sur le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marche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d'un produit ». Rien que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ça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. En effet à partir de juillet 2015, l'Anses aura non seulement </w:t>
      </w:r>
      <w:proofErr w:type="gramStart"/>
      <w:r w:rsidRPr="00F2336A">
        <w:rPr>
          <w:rFonts w:ascii="LiberationSerif" w:eastAsia="Times New Roman" w:hAnsi="LiberationSerif" w:cs="Times New Roman"/>
          <w:lang w:eastAsia="fr-FR"/>
        </w:rPr>
        <w:t>la</w:t>
      </w:r>
      <w:proofErr w:type="gram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</w:p>
    <w:p w:rsidR="00F2336A" w:rsidRPr="00F2336A" w:rsidRDefault="00F2336A" w:rsidP="00F2336A">
      <w:pPr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"/var/folders/qk/83krns2d241bvc5jn075mjs40000gp/T/com.microsoft.Word/WebArchiveCopyPasteTempFiles/page3image3631156144"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1507490" cy="2743200"/>
            <wp:effectExtent l="0" t="0" r="3810" b="0"/>
            <wp:docPr id="35" name="Image 35" descr="page3image3631156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3image36311561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"/var/folders/qk/83krns2d241bvc5jn075mjs40000gp/T/com.microsoft.Word/WebArchiveCopyPasteTempFiles/page3image3631156528"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609600" cy="2743200"/>
            <wp:effectExtent l="0" t="0" r="0" b="0"/>
            <wp:docPr id="34" name="Image 34" descr="page3image3631156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3image36311565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"/var/folders/qk/83krns2d241bvc5jn075mjs40000gp/T/com.microsoft.Word/WebArchiveCopyPasteTempFiles/page3image3631156784"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084070" cy="16510"/>
            <wp:effectExtent l="0" t="0" r="0" b="0"/>
            <wp:docPr id="33" name="Image 33" descr="page3image3631156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3image36311567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"/var/folders/qk/83krns2d241bvc5jn075mjs40000gp/T/com.microsoft.Word/WebArchiveCopyPasteTempFiles/page3image3631157376"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1474470" cy="2743200"/>
            <wp:effectExtent l="0" t="0" r="0" b="0"/>
            <wp:docPr id="32" name="Image 32" descr="page3image3631157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3image36311573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"/var/folders/qk/83krns2d241bvc5jn075mjs40000gp/T/com.microsoft.Word/WebArchiveCopyPasteTempFiles/page3image3631158000"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115570" cy="2743200"/>
            <wp:effectExtent l="0" t="0" r="0" b="0"/>
            <wp:docPr id="31" name="Image 31" descr="page3image363115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3image36311580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lastRenderedPageBreak/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"/var/folders/qk/83krns2d241bvc5jn075mjs40000gp/T/com.microsoft.Word/WebArchiveCopyPasteTempFiles/page3image3631158256"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756910" cy="2583815"/>
            <wp:effectExtent l="0" t="0" r="0" b="0"/>
            <wp:docPr id="30" name="Image 30" descr="page3image3631158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3image36311582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"/var/folders/qk/83krns2d241bvc5jn075mjs40000gp/T/com.microsoft.Word/WebArchiveCopyPasteTempFiles/page3image3631158512"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756910" cy="2583815"/>
            <wp:effectExtent l="0" t="0" r="0" b="0"/>
            <wp:docPr id="29" name="Image 29" descr="page3image3631158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3image36311585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"/var/folders/qk/83krns2d241bvc5jn075mjs40000gp/T/com.microsoft.Word/WebArchiveCopyPasteTempFiles/page3image3631158768"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756910" cy="2583815"/>
            <wp:effectExtent l="0" t="0" r="0" b="0"/>
            <wp:docPr id="28" name="Image 28" descr="page3image3631158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3image36311587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lastRenderedPageBreak/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"/var/folders/qk/83krns2d241bvc5jn075mjs40000gp/T/com.microsoft.Word/WebArchiveCopyPasteTempFiles/page3image3631159088"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756910" cy="2583815"/>
            <wp:effectExtent l="0" t="0" r="0" b="0"/>
            <wp:docPr id="27" name="Image 27" descr="page3image3631159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3image36311590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"/var/folders/qk/83krns2d241bvc5jn075mjs40000gp/T/com.microsoft.Word/WebArchiveCopyPasteTempFiles/page3image3631159344"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756910" cy="2583815"/>
            <wp:effectExtent l="0" t="0" r="0" b="0"/>
            <wp:docPr id="26" name="Image 26" descr="page3image3631159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3image36311593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responsabilite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>́ de l'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évaluation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des produits phytopharmaceutiques, mais aussi des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décisions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d'AMM. J’ai donc pris le train à 5 h du mat, j’ai lu des rapports, j’ai relu des rapports, j’ai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pose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des questions, j’ai appris des trucs, j’ai appris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̀ me taire, j’en ai eu marre, j’ai obtenu des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réponses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à la noix mais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écrites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j’ai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pose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>́ d’autres questions, j’ai eu le sentiment d’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être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inefficace, j’ai eu la certitude d’un rapport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écrit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d’avance.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Les lignes directrices de cette nouvelle mission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étaient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en consultation publique sur le site de l'Anses jusqu'au 5 juin. Pour l'essentiel, et c'est un truisme, l'Anses appliquera le droit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européen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. J'aurais pu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écrire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« seulement » ou « tout » le droit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européen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. Seulement, si elle se contente de la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réglementation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actuelle sans soucis de faire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évoluer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la prise en compte des effets cocktails ou la question des perturbateurs endocriniens par exemple. Ou encore celle de l'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accès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à l'ensemble des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données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fournies par les industriels, sur lesquelles elle fonde ses avis et maintenant ses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décisions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. Je mentirai en disant que j’ai eu le sentiment que ces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problèmes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allaient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connaître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début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d’une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avancée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. J’aurais pu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écrire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« tout le droit » si, face aux lobbies, l'Anses prend des positions courageuses, ce dont je ne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désespère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pourtant pas.... Mais ce qui ne sera pas en consultation publique, c’est le principal : la composition de l’organe assurant cette nouvelle mission. Si on nous refait le coup du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pâte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d’alouettes, un zeste de toxicologues ou 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médecins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pour une tonne de gens du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sérail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avancées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seront laborieuses. Quelles que soient leurs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lastRenderedPageBreak/>
        <w:t>compétences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ces personnes ont en effet toujours tendance à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privilégier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un raisonnement agro-chimique.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Nous saurons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bientôt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où sera placé le curseur : le sort qui sera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réserve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>́ au Glyphosate qui vient d'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être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reconnu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cancérigène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probable par le CIRC (ce qui en droit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européen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équivaut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à un retrait du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marche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́), mais aussi celui des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néonicotinoïdes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(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cf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article M Nicolle) auront valeur de tests.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(*)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cf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communiqués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presse sur notre site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Pierre-Michel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Périnaud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Limoges ________________________________________________________________________________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Pomiculteurs et riverains se mettent 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a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̀ table...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b/>
          <w:bCs/>
          <w:lang w:eastAsia="fr-FR"/>
        </w:rPr>
        <w:t xml:space="preserve">Rappel des faits </w:t>
      </w:r>
      <w:r w:rsidRPr="00F2336A">
        <w:rPr>
          <w:rFonts w:ascii="LiberationSerif" w:eastAsia="Times New Roman" w:hAnsi="LiberationSerif" w:cs="Times New Roman"/>
          <w:lang w:eastAsia="fr-FR"/>
        </w:rPr>
        <w:t>:</w:t>
      </w:r>
      <w:r w:rsidRPr="00F2336A">
        <w:rPr>
          <w:rFonts w:ascii="LiberationSerif" w:eastAsia="Times New Roman" w:hAnsi="LiberationSerif" w:cs="Times New Roman"/>
          <w:lang w:eastAsia="fr-FR"/>
        </w:rPr>
        <w:br/>
        <w:t xml:space="preserve">Dans le cadre de la semaine des alternatives aux pesticides, notre association avait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apporte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son soutien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̀ la manifestation devant 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dérouler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̀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Allassac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le dimanche 29 mars : marché bio le matin et intervention de l'AMLP, marche en faveur des alternatives l'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après-midi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. Cinq jours avant les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autorités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préfectorales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convoquèrent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les organisateurs pour leur faire part d'une contre-manif de certains agriculteurs. Motif de la grogne : un reportage d'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Envoye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Spécial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diffusé quelques semaines auparavant, intitulé « peut-on encore manger des pommes ? », et qui mit par terre des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années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publicite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pour les belles pommes du Limousin....Le maire de la commune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annonça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même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qu'il prenait un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arrête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municipal d'interdiction de la marche (ce qui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était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responsable de sa part). Le soir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même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nous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décidions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avec les riverains d'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Allassac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et les Amis de la Terre d'annuler l'ensemble de la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journée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le but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étant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d'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éviter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des affrontements. Non sans demander au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préfet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rassembler les parties prenantes autour d'une table. Cet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épisode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n'est pas exempt de manipulations puisque le maire d'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Allassac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ressortit du bureau du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sous-préfet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le lendemain du vrai-faux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arrête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en disant qu'il ne prenait plus son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arrête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́...Vous suivez ?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b/>
          <w:bCs/>
          <w:lang w:eastAsia="fr-FR"/>
        </w:rPr>
        <w:t xml:space="preserve">Le principal c'est que depuis Avril se retrouvent à la 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lang w:eastAsia="fr-FR"/>
        </w:rPr>
        <w:t>sous-préfecture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lang w:eastAsia="fr-FR"/>
        </w:rPr>
        <w:t xml:space="preserve"> de Brive</w:t>
      </w:r>
      <w:r w:rsidRPr="00F2336A">
        <w:rPr>
          <w:rFonts w:ascii="LiberationSerif" w:eastAsia="Times New Roman" w:hAnsi="LiberationSerif" w:cs="Times New Roman"/>
          <w:lang w:eastAsia="fr-FR"/>
        </w:rPr>
        <w:t xml:space="preserve">, chose impensable il y a seulement quelques mois, les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coopératives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pomiculteurs, l'association des riverains, les services de l’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État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(DDT, DRAAF) et l'AMLP. Plus un participant jouant un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rôle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essentiel 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médiateur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Paul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François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président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Phytovictimes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agriculteur conventionnel, ayant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récemment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passé une partie de son exploitation en bio.</w:t>
      </w:r>
      <w:r w:rsidRPr="00F2336A">
        <w:rPr>
          <w:rFonts w:ascii="LiberationSerif" w:eastAsia="Times New Roman" w:hAnsi="LiberationSerif" w:cs="Times New Roman"/>
          <w:lang w:eastAsia="fr-FR"/>
        </w:rPr>
        <w:br/>
        <w:t xml:space="preserve">A la demande des pomiculteurs la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première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décision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la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création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d'une cellule 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médiation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pour trouver des solutions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concrètes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lors de conflits de voisinage (plantation de haies, filets brise- vent en attendant, information sur les jours de traitement). L'installation de 3 manches à air à titre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expérimental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 aussi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>́ retenue. Elles doivent permettre « d'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éduquer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» les riverains à l'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appréciation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la vitesse du vent, et rappeler aux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opérateurs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le respect des conditions d'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épandage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. Des points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>restent à discuter : quelle information et sous quelle forme sur les jours d'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épandage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? Utilisation d'une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signalétique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avec le nom des produits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utilisés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le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délai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>́-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entrée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sur les routes ou chemins traversant les zones de traitement ?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lastRenderedPageBreak/>
        <w:t xml:space="preserve">Restent à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définir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aussi les mesures entrant dans le cadre de l'article 53 de la LAAF : c'est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̀ dire les mesures de protection à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proximite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des lieux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hébergeant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du public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vulnérable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(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établissements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scolaires, centres de loisirs, centres hospitaliers, mais pas les habitations ni les terrains de sport...). La DRAAF doit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présenter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une cartographie de ces lieux. Le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même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type de mesure de protection (haies,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équipements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pour le traitement, dates, horaires 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pulvérisation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...) sera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préconise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>́ ; en cas d'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impossibilite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une distance d'interdiction de traitement sera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déterminée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par l'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autorite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administrative.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Tout cela est sans doute de nature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̀ apaiser les choses et permettra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espérons-le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aux gens de se parler. Mais outre que ces mesures sont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déja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̀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critiquées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par les plus radicaux ou les plus opportunistes (une maison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̀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côte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d'un panneau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épandage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pesticides n'est pas facile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̀ vendre), les solutions de long terme passent par une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réduction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l'usage des pesticides. A la fois pour les pomiculteurs, pour jouer la carte de la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qualite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face aux produits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importés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fatalement moins chers. Et pour la santé publique. Cette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première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étape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 permis l'instauration d'un dialogue. Faisons maintenant en sorte qu'elle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débouche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sur des mesures touchant à la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réduction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l'usage des pesticides (mesures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financées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dans le cadre de la PAC, aides à la transition bio, constitution et soutien 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filières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pour des fruits moins «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présentables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», etc.)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Pierre-Michel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Périnaud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Rubrique : « 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Faut il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 pleurer, 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faut il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 en </w:t>
      </w:r>
      <w:proofErr w:type="gramStart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rire....</w:t>
      </w:r>
      <w:proofErr w:type="gramEnd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 »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Vous avez dit « Schizo </w:t>
      </w:r>
      <w:proofErr w:type="gramStart"/>
      <w:r w:rsidRPr="00F2336A">
        <w:rPr>
          <w:rFonts w:ascii="LiberationSerif" w:eastAsia="Times New Roman" w:hAnsi="LiberationSerif" w:cs="Times New Roman"/>
          <w:lang w:eastAsia="fr-FR"/>
        </w:rPr>
        <w:t>»?</w:t>
      </w:r>
      <w:proofErr w:type="gramEnd"/>
      <w:r w:rsidRPr="00F2336A">
        <w:rPr>
          <w:rFonts w:ascii="LiberationSerif" w:eastAsia="Times New Roman" w:hAnsi="LiberationSerif" w:cs="Times New Roman"/>
          <w:lang w:eastAsia="fr-FR"/>
        </w:rPr>
        <w:br/>
        <w:t xml:space="preserve">Le 24 avril dernier la Commission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européenne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autorise la commercialisation de 17 OGM.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Parmi eux un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maïs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(T25)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tolérant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au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désherbant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Liberty® à base 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Glufosinate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qui est le concurrent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européen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(BAYER) du Roundup®(MONSANTO).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Ce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même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Glufosinate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 pourtant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jugé suffisamment dangereux pour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être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classé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reprotoxique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probable, c'est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̀ dire qu'il ne devrait plus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être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commercialisé selon le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règlement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2009.</w:t>
      </w:r>
      <w:r w:rsidRPr="00F2336A">
        <w:rPr>
          <w:rFonts w:ascii="LiberationSerif" w:eastAsia="Times New Roman" w:hAnsi="LiberationSerif" w:cs="Times New Roman"/>
          <w:lang w:eastAsia="fr-FR"/>
        </w:rPr>
        <w:br/>
        <w:t>Cherchez l'erreur !</w:t>
      </w:r>
      <w:r w:rsidRPr="00F2336A">
        <w:rPr>
          <w:rFonts w:ascii="LiberationSerif" w:eastAsia="Times New Roman" w:hAnsi="LiberationSerif" w:cs="Times New Roman"/>
          <w:lang w:eastAsia="fr-FR"/>
        </w:rPr>
        <w:br/>
        <w:t xml:space="preserve">Il est vrai que BAYER fabrique aussi des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médicaments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anti-cancéreux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...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Jean Pierre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Frachet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(Limoges)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F2336A">
        <w:rPr>
          <w:rFonts w:ascii="LiberationSerif" w:eastAsia="Times New Roman" w:hAnsi="LiberationSerif" w:cs="Times New Roman"/>
          <w:b/>
          <w:bCs/>
          <w:lang w:eastAsia="fr-FR"/>
        </w:rPr>
        <w:t>Dernière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lang w:eastAsia="fr-FR"/>
        </w:rPr>
        <w:t xml:space="preserve"> minute : </w:t>
      </w:r>
      <w:r w:rsidRPr="00F2336A">
        <w:rPr>
          <w:rFonts w:ascii="LiberationSerif" w:eastAsia="Times New Roman" w:hAnsi="LiberationSerif" w:cs="Times New Roman"/>
          <w:lang w:eastAsia="fr-FR"/>
        </w:rPr>
        <w:t xml:space="preserve">le tout nouveau tableau de Maladie Professionnelle Agricole du 5 juin 2015 portant sur les LNH, ne retient pas dans la liste des travaux agricoles susceptibles de causer cette maladie, ceux ayant conduit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̀ une exposition au </w:t>
      </w:r>
      <w:proofErr w:type="gramStart"/>
      <w:r w:rsidRPr="00F2336A">
        <w:rPr>
          <w:rFonts w:ascii="LiberationSerif" w:eastAsia="Times New Roman" w:hAnsi="LiberationSerif" w:cs="Times New Roman"/>
          <w:lang w:eastAsia="fr-FR"/>
        </w:rPr>
        <w:t>Glyphosate.(</w:t>
      </w:r>
      <w:proofErr w:type="gramEnd"/>
      <w:r w:rsidRPr="00F2336A">
        <w:rPr>
          <w:rFonts w:ascii="LiberationSerif" w:eastAsia="Times New Roman" w:hAnsi="LiberationSerif" w:cs="Times New Roman"/>
          <w:lang w:eastAsia="fr-FR"/>
        </w:rPr>
        <w:t xml:space="preserve">*) Pourtant les experts du CIRC ont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fonde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le classement de celui-ci en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cancérigène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probable sur le lien qui existe entre exposition professionnelle au glyphosate et LNH. Comprenne qui pourra ! On imagine pourtant que les experts se sont dans les deux cas,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penchés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sur les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mêmes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données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scientifiques. Mais à la question : y-a-t-il un lien entre exposition professionnelle au Glyphosate et LNH ? les uns se sont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basés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sur ce qu’on leur demande, l’analyse de la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littérature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scientifique. Les autres ont sans aucun doute eu une vue plus « </w:t>
      </w:r>
      <w:proofErr w:type="gramStart"/>
      <w:r w:rsidRPr="00F2336A">
        <w:rPr>
          <w:rFonts w:ascii="LiberationSerif" w:eastAsia="Times New Roman" w:hAnsi="LiberationSerif" w:cs="Times New Roman"/>
          <w:lang w:eastAsia="fr-FR"/>
        </w:rPr>
        <w:t>large»</w:t>
      </w:r>
      <w:proofErr w:type="gramEnd"/>
      <w:r w:rsidRPr="00F2336A">
        <w:rPr>
          <w:rFonts w:ascii="LiberationSerif" w:eastAsia="Times New Roman" w:hAnsi="LiberationSerif" w:cs="Times New Roman"/>
          <w:lang w:eastAsia="fr-FR"/>
        </w:rPr>
        <w:t xml:space="preserve"> et pris en compte les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intérêts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économiques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le point de vue syndical agricole majoritaire (rappelons que la FNSEA avait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vote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>́ contre la reconnaissance de ce tableau de MP), l’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état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santé du capitaine et celui de la MSA. On </w:t>
      </w:r>
      <w:r w:rsidRPr="00F2336A">
        <w:rPr>
          <w:rFonts w:ascii="LiberationSerif" w:eastAsia="Times New Roman" w:hAnsi="LiberationSerif" w:cs="Times New Roman"/>
          <w:lang w:eastAsia="fr-FR"/>
        </w:rPr>
        <w:lastRenderedPageBreak/>
        <w:t xml:space="preserve">en revient aux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décisions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qu’aura demain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̀ prendre l’Anses : souhaitons que la force de celles-ci repose sur son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impartialite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(*)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Toxaphène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atrazine,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organo-chlorés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et dans certains cas le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carbaryl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(qui 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remplace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le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toxaphène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), qui sont seuls retenus comme responsables de LNH dans le nouveau tableau de </w:t>
      </w:r>
    </w:p>
    <w:p w:rsidR="00F2336A" w:rsidRPr="00F2336A" w:rsidRDefault="00F2336A" w:rsidP="00F2336A">
      <w:pPr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"/var/folders/qk/83krns2d241bvc5jn075mjs40000gp/T/com.microsoft.Word/WebArchiveCopyPasteTempFiles/page5image3628520832"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756910" cy="2583815"/>
            <wp:effectExtent l="0" t="0" r="0" b="0"/>
            <wp:docPr id="25" name="Image 25" descr="page5image3628520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ge5image36285208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maladie professionnelle, sont, depuis plusieurs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années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interdits à la </w:t>
      </w:r>
      <w:proofErr w:type="gramStart"/>
      <w:r w:rsidRPr="00F2336A">
        <w:rPr>
          <w:rFonts w:ascii="LiberationSerif" w:eastAsia="Times New Roman" w:hAnsi="LiberationSerif" w:cs="Times New Roman"/>
          <w:lang w:eastAsia="fr-FR"/>
        </w:rPr>
        <w:t>vente!!</w:t>
      </w:r>
      <w:proofErr w:type="gramEnd"/>
      <w:r w:rsidRPr="00F2336A">
        <w:rPr>
          <w:rFonts w:ascii="LiberationSerif" w:eastAsia="Times New Roman" w:hAnsi="LiberationSerif" w:cs="Times New Roman"/>
          <w:lang w:eastAsia="fr-FR"/>
        </w:rPr>
        <w:t xml:space="preserve"> Pierre-Michel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Perinaud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F2336A">
        <w:rPr>
          <w:rFonts w:ascii="LiberationSerif" w:eastAsia="Times New Roman" w:hAnsi="LiberationSerif" w:cs="Times New Roman"/>
          <w:b/>
          <w:bCs/>
          <w:lang w:eastAsia="fr-FR"/>
        </w:rPr>
        <w:t>Étude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lang w:eastAsia="fr-FR"/>
        </w:rPr>
        <w:t xml:space="preserve"> de l'ORSE du Limousin sur les pathologies de longue 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lang w:eastAsia="fr-FR"/>
        </w:rPr>
        <w:t>durée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lang w:eastAsia="fr-FR"/>
        </w:rPr>
        <w:t xml:space="preserve"> (ALD) MSA versus 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lang w:eastAsia="fr-FR"/>
        </w:rPr>
        <w:t>Régime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lang w:eastAsia="fr-FR"/>
        </w:rPr>
        <w:t>général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lang w:eastAsia="fr-FR"/>
        </w:rPr>
        <w:t xml:space="preserve">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Avant de lancer un projet de dosages de pesticides (matrice urinaire ou capillaire ?) chez les riverains des exploitations agricoles, il nous 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semble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intéressant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faire une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étude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comparative des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affiliés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au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régime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général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(CPAM/RSI) versus MSA en partant du registre des ALD ; travail aimablement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réalise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par l'Observatoire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Régional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Santé et de l’Environnement (ORSE Limousin) sur une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période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2005 à 2013.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Il ressort en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première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lecture et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conformément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aux publications de l’INSERM qu’est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retrouvée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une plus faible incidence des K pulmonaires et voies respiratoires (p = 0,02), une plus forte proportion de patients atteints de maladie d’Alzheimer et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apparentés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(p = 0,03), un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résultat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plus mitigé dans les Parkinson (p=0,12) mais pas 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différence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significative pour les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myélomes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multiples et les lymphomes non hodgkiniens. (*)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Par contre est mise en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évidence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une sur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représentativite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de la maladie 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Gougerot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Sjögren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p=0,19 (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donnée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à explorer).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Il ne semble pas exister 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différences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entre zones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pomicoles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et les autres ; cependant les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céréaliers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les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éleveurs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et les sylviculteurs utilisent eux aussi largement des pesticides.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Nous sommes conscients qu’en Limousin les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frontières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ne sont pas si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étanches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: bien des urbains viennent ou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fréquentent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régulièrement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le monde agricole (famille, habitat etc..), </w:t>
      </w:r>
      <w:r w:rsidRPr="00F2336A">
        <w:rPr>
          <w:rFonts w:ascii="LiberationSerif" w:eastAsia="Times New Roman" w:hAnsi="LiberationSerif" w:cs="Times New Roman"/>
          <w:lang w:eastAsia="fr-FR"/>
        </w:rPr>
        <w:lastRenderedPageBreak/>
        <w:t xml:space="preserve">plus d’1/4 des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affiliés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à la MSA n’est pas en relation directe avec l’agriculture. En outre la population du Limousin reste somme toute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limitée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ce qui appauvrit l’outil statistique. A titre d’information le nombre total de cancers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était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33689 pour CPAM versus 5800 MSA. Alzheimer 4360/1530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Il serait donc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intéressant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que puissent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être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menées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(ou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communiquées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) des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études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du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même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type dans d’autres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régions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plus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peuplées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ou plus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différenciées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(*) On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considère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que le taux est significatif quand il est &lt; 0,05 Jean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Maclouf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(Limoges)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Alimentation bio dans les </w:t>
      </w:r>
      <w:proofErr w:type="spellStart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établissements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 scolaires de Tulle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En septembre 2014, la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municipalite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de Tulle a repris en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régie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la restauration scolaire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après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15 ans 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délégation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service à une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Sociéte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de restauration collective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privée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Sandrine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Taillefer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conseillère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municipale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déléguée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à la restauration scolaire, et endocrinologue membre de AMLP, -consciente des enjeux de santé publique pour les enfants d'une exposition à des perturbateurs endocriniens qu'ils soient d'origine 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résidus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pesticides alimentaires ou d'origine de produits d'entretien- a fixé une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priorite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de cuisiner des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matières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premières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issues de l'agriculture biologique. </w:t>
      </w:r>
    </w:p>
    <w:p w:rsidR="00F2336A" w:rsidRPr="00F2336A" w:rsidRDefault="00F2336A" w:rsidP="00F2336A">
      <w:pPr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"/var/folders/qk/83krns2d241bvc5jn075mjs40000gp/T/com.microsoft.Word/WebArchiveCopyPasteTempFiles/page6image3630425072"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756910" cy="2583815"/>
            <wp:effectExtent l="0" t="0" r="0" b="0"/>
            <wp:docPr id="24" name="Image 24" descr="page6image3630425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6image36304250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"/var/folders/qk/83krns2d241bvc5jn075mjs40000gp/T/com.microsoft.Word/WebArchiveCopyPasteTempFiles/page6image3630425424"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756910" cy="15240"/>
            <wp:effectExtent l="0" t="0" r="0" b="0"/>
            <wp:docPr id="23" name="Image 23" descr="page6image3630425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ge6image36304254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Il s'agit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également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privilégier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les producteurs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régionaux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ce qui diminuera l'indice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carbone et permettra une cueillette à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maturite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des fruits et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légumes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saison.</w:t>
      </w:r>
      <w:r w:rsidRPr="00F2336A">
        <w:rPr>
          <w:rFonts w:ascii="LiberationSerif" w:eastAsia="Times New Roman" w:hAnsi="LiberationSerif" w:cs="Times New Roman"/>
          <w:lang w:eastAsia="fr-FR"/>
        </w:rPr>
        <w:br/>
        <w:t xml:space="preserve">La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municipalite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est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adhérente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à « Manger Bio Limousin » et est en partenariat avec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Interbio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Limousin pour atteindre ses objectifs.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En pratique, 1000 repas sont servis dans 8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écoles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Tulle, 3 centres de loisirs et un service de portage de repas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̀ domicile pour les personnes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âgées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; la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municipalite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couvre 60 % du prix de revient de ces repas (moins de 3 euros) ; une «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légumerie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» 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construite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pou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préparer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légumes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frais. Le bilan de cette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première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année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montre une diminution du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coût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revient global du repas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malgre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une augmentation 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coût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la section des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matières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premières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lastRenderedPageBreak/>
        <w:t>D'autres communes s'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étaient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engagées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dans cette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démarche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depuis des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années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Tulle 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emboîte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le pas et sera suivie par de nouvelles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agglomérations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cela est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sûr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afin de relancer une agriculture saine pour ceux qui cultivent et ceux qui consomment.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Sandrine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Taillefer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(Tulle)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b/>
          <w:bCs/>
          <w:lang w:eastAsia="fr-FR"/>
        </w:rPr>
        <w:t xml:space="preserve">ACTIONS </w:t>
      </w:r>
      <w:proofErr w:type="gramStart"/>
      <w:r w:rsidRPr="00F2336A">
        <w:rPr>
          <w:rFonts w:ascii="LiberationSerif" w:eastAsia="Times New Roman" w:hAnsi="LiberationSerif" w:cs="Times New Roman"/>
          <w:b/>
          <w:bCs/>
          <w:lang w:eastAsia="fr-FR"/>
        </w:rPr>
        <w:t>LOCALES:</w:t>
      </w:r>
      <w:proofErr w:type="gramEnd"/>
      <w:r w:rsidRPr="00F2336A">
        <w:rPr>
          <w:rFonts w:ascii="LiberationSerif" w:eastAsia="Times New Roman" w:hAnsi="LiberationSerif" w:cs="Times New Roman"/>
          <w:b/>
          <w:bCs/>
          <w:lang w:eastAsia="fr-FR"/>
        </w:rPr>
        <w:t xml:space="preserve"> du grain à moudre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Depuis la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création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notre association en juin 2013, nous constatons une demande croissante d'information sur les risques sanitaires des pesticides, venant de tous horizons du milieu associatif et de tous horizons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géographiques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. Nous ne sommes pas assez nombreux pour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répondre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à toutes les demandes. Dans quelques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régions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des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médecins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signataires de notre appel ne nous ont pas attendus pour se mobiliser sur la santé </w:t>
      </w:r>
      <w:proofErr w:type="gramStart"/>
      <w:r w:rsidRPr="00F2336A">
        <w:rPr>
          <w:rFonts w:ascii="LiberationSerif" w:eastAsia="Times New Roman" w:hAnsi="LiberationSerif" w:cs="Times New Roman"/>
          <w:lang w:eastAsia="fr-FR"/>
        </w:rPr>
        <w:t>environnementale:</w:t>
      </w:r>
      <w:proofErr w:type="gram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Frédérique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Sarazin et Michel Nicolle,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adhérents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l'AMLP, s'activent comme de beaux diables en Basse-Normandie. D'autres s'y lancent, comme en Charente-Maritime et dans le Pays Basque. Nous mettons nos dossiers à leur disposition. Les associations environnementalistes sont aussi, logiquement, en recherche d'informations sur pesticides et santé.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En 2014, nous avons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rencontre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2 associations de FMC et 2 associations familiales en Haute- Vienne.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A l'invitation d'une consœur, Martine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Deguillaume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nous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étions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à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Peyrat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>-le -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Château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en mai, en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binôme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avec une association du Plateau de Millevaches pour conjuguer protection de l'environnement et de la santé humaine.</w:t>
      </w:r>
      <w:r w:rsidRPr="00F2336A">
        <w:rPr>
          <w:rFonts w:ascii="LiberationSerif" w:eastAsia="Times New Roman" w:hAnsi="LiberationSerif" w:cs="Times New Roman"/>
          <w:lang w:eastAsia="fr-FR"/>
        </w:rPr>
        <w:br/>
        <w:t xml:space="preserve">Cette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même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année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une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conférence-débat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à Tulle puis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Allassac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en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Corrèze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>, faisaient salle comble (c'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était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pas le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Zénith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mais pas une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arrière-salle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bistrot non plus). Notre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président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sur tous les fronts, intervenait aussi à une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fête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des faucheurs dans le Lot, soutenait une manif de la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Confédération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Paysanne à Toulouse, et j'en oublie.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Point d'orgue en octobre à Soyaux,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près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d'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Angoulême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où le collectif "Vigilance OGM et Pesticides 16" rassemblait 400 personnes, nous confirmant la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nécessite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de cette information. Le public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présent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est majoritairement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déja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̀ sensibilisé au risque des pesticides, mais il y a souvent, heureusement, un ou deux agriculteurs conventionnels qui viennent apporter la contradiction.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En 2015, printemps chargé. Participation en mars, avec le Pr Ben-Brik, aux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journées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"Vivre et travailler sans pesticides" à Poitiers. Participation à une table ronde à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Cussac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-Fort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Médoc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dans les vignes, en soutien à Marie-Lys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BiBeyran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salariée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viticole, qui alerte,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très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courageusement, sur le danger des pesticides.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En avril, invitation 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collègues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rochefortais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qui s'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éveillent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>, comme nous, à la santé environnementale, à la faveur d'un projet d'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incinérateur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. Puis une intervention dans un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lycée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agricole de Limoges,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auprès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d'une classe de 1ère, en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binôme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à nouveau, avec un couple d'agriculteurs conventionnels en conversion bio. Et encore une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conférence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à la </w:t>
      </w:r>
      <w:proofErr w:type="spellStart"/>
      <w:proofErr w:type="gramStart"/>
      <w:r w:rsidRPr="00F2336A">
        <w:rPr>
          <w:rFonts w:ascii="LiberationSerif" w:eastAsia="Times New Roman" w:hAnsi="LiberationSerif" w:cs="Times New Roman"/>
          <w:lang w:eastAsia="fr-FR"/>
        </w:rPr>
        <w:t>Croisille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,</w:t>
      </w:r>
      <w:proofErr w:type="gramEnd"/>
      <w:r w:rsidRPr="00F2336A">
        <w:rPr>
          <w:rFonts w:ascii="LiberationSerif" w:eastAsia="Times New Roman" w:hAnsi="LiberationSerif" w:cs="Times New Roman"/>
          <w:lang w:eastAsia="fr-FR"/>
        </w:rPr>
        <w:t xml:space="preserve"> en Haute Vienne, puis une à Chalais en Charente, puis à Felletin sur le plateau de Millevaches.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lastRenderedPageBreak/>
        <w:t>Et l'automne qui s'annonce chaud.</w:t>
      </w:r>
      <w:r w:rsidRPr="00F2336A">
        <w:rPr>
          <w:rFonts w:ascii="LiberationSerif" w:eastAsia="Times New Roman" w:hAnsi="LiberationSerif" w:cs="Times New Roman"/>
          <w:lang w:eastAsia="fr-FR"/>
        </w:rPr>
        <w:br/>
        <w:t xml:space="preserve">Sandrine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Taillefer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notre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collègue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tulliste, assume maintenant sa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région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frisant le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burn-out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(appel du pied à tous les signataires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corréziens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pour venir l'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épauler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>).</w:t>
      </w:r>
      <w:r w:rsidRPr="00F2336A">
        <w:rPr>
          <w:rFonts w:ascii="LiberationSerif" w:eastAsia="Times New Roman" w:hAnsi="LiberationSerif" w:cs="Times New Roman"/>
          <w:lang w:eastAsia="fr-FR"/>
        </w:rPr>
        <w:br/>
        <w:t xml:space="preserve">La sensibilisation de tous les publics, en partenariat avec les associations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environnementalistes, peut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déboucher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progressivement sur des exigences citoyennes de poids face </w:t>
      </w:r>
    </w:p>
    <w:p w:rsidR="00F2336A" w:rsidRPr="00F2336A" w:rsidRDefault="00F2336A" w:rsidP="00F2336A">
      <w:pPr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"/var/folders/qk/83krns2d241bvc5jn075mjs40000gp/T/com.microsoft.Word/WebArchiveCopyPasteTempFiles/page7image3587078080"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756910" cy="15240"/>
            <wp:effectExtent l="0" t="0" r="0" b="0"/>
            <wp:docPr id="22" name="Image 22" descr="page7image3587078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7image35870780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aux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décideurs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. Chacun, dans sa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sphère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d'influence, peut s'atteler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̀ la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tâche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>. Joseph MAZE (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Bujaleuf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)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b/>
          <w:bCs/>
          <w:lang w:eastAsia="fr-FR"/>
        </w:rPr>
        <w:t xml:space="preserve">CARTE VISUALISANT LES LIEUX DE NOS INTERVENTIONS EN 2014-2015 </w:t>
      </w:r>
    </w:p>
    <w:p w:rsidR="00F2336A" w:rsidRPr="00F2336A" w:rsidRDefault="00F2336A" w:rsidP="00F2336A">
      <w:pPr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Times New Roman" w:eastAsia="Times New Roman" w:hAnsi="Times New Roman" w:cs="Times New Roman"/>
          <w:lang w:eastAsia="fr-FR"/>
        </w:rPr>
        <w:lastRenderedPageBreak/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"/var/folders/qk/83krns2d241bvc5jn075mjs40000gp/T/com.microsoft.Word/WebArchiveCopyPasteTempFiles/page8image3586697840"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305425" cy="2743200"/>
            <wp:effectExtent l="0" t="0" r="3175" b="0"/>
            <wp:docPr id="21" name="Image 21" descr="page8image3586697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8image35866978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"/var/folders/qk/83krns2d241bvc5jn075mjs40000gp/T/com.microsoft.Word/WebArchiveCopyPasteTempFiles/page8image3586698160"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756910" cy="5821045"/>
            <wp:effectExtent l="0" t="0" r="0" b="0"/>
            <wp:docPr id="20" name="Image 20" descr="page8image3586698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8image358669816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2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F2336A" w:rsidRPr="00F2336A" w:rsidRDefault="00F2336A" w:rsidP="00F23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Serif" w:eastAsia="Times New Roman" w:hAnsi="LiberationSerif" w:cs="Courier New"/>
          <w:lang w:eastAsia="fr-FR"/>
        </w:rPr>
      </w:pPr>
      <w:r w:rsidRPr="00F2336A">
        <w:rPr>
          <w:rFonts w:ascii="LiberationSerif" w:eastAsia="Times New Roman" w:hAnsi="LiberationSerif" w:cs="Courier New"/>
          <w:lang w:eastAsia="fr-FR"/>
        </w:rPr>
        <w:t>________________________________________________________________________________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lastRenderedPageBreak/>
        <w:t>Étude</w:t>
      </w:r>
      <w:proofErr w:type="spellEnd"/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 xml:space="preserve"> sur l’exposition des riverains aux pesticides.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A ce jour, l’exposition aux pesticides 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majoritairement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étudiée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sur les travailleurs </w:t>
      </w:r>
      <w:proofErr w:type="gramStart"/>
      <w:r w:rsidRPr="00F2336A">
        <w:rPr>
          <w:rFonts w:ascii="LiberationSerif" w:eastAsia="Times New Roman" w:hAnsi="LiberationSerif" w:cs="Times New Roman"/>
          <w:lang w:eastAsia="fr-FR"/>
        </w:rPr>
        <w:t>agricoles..</w:t>
      </w:r>
      <w:proofErr w:type="gramEnd"/>
      <w:r w:rsidRPr="00F2336A">
        <w:rPr>
          <w:rFonts w:ascii="LiberationSerif" w:eastAsia="Times New Roman" w:hAnsi="LiberationSerif" w:cs="Times New Roman"/>
          <w:lang w:eastAsia="fr-FR"/>
        </w:rPr>
        <w:t xml:space="preserve"> Or les riverains, par la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chronicite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́ de leur exposition et leur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proximite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>́ des zones d’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épandages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>, n’ont fait l’objet que de peu d’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études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d’exposition, parmi lesquelles l’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étude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i/>
          <w:iCs/>
          <w:lang w:eastAsia="fr-FR"/>
        </w:rPr>
        <w:t>Phytoriv</w:t>
      </w:r>
      <w:proofErr w:type="spellEnd"/>
      <w:r w:rsidRPr="00F2336A">
        <w:rPr>
          <w:rFonts w:ascii="LiberationSerif" w:eastAsia="Times New Roman" w:hAnsi="LiberationSerif" w:cs="Times New Roman"/>
          <w:i/>
          <w:iCs/>
          <w:lang w:eastAsia="fr-FR"/>
        </w:rPr>
        <w:t xml:space="preserve"> </w:t>
      </w:r>
      <w:r w:rsidRPr="00F2336A">
        <w:rPr>
          <w:rFonts w:ascii="LiberationSerif" w:eastAsia="Times New Roman" w:hAnsi="LiberationSerif" w:cs="Times New Roman"/>
          <w:lang w:eastAsia="fr-FR"/>
        </w:rPr>
        <w:t xml:space="preserve">sur les zones viticoles. L’objectif de cette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étude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épidémiologique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est d’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évaluer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l’exposition aiguë et chronique de riverains de zones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pomicoles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à un panel de 147 pesticides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différents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sur quatre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prélèvements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urinaires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effectués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à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différentes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saisons, et de les comparer à une population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témoin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non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exposée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à ces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épandages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répétés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. Les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données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seront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collectées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sur 25 cas et 25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témoins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habitant dans la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région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limousine, sur une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durée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1 an, et seront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analysées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en partenariat avec le laboratoire de toxicologie et le service 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méthodologie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et recherche clinique du CHU de Limoges, ainsi que l'ORS (Observatoire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Régional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 la Santé) du Limousin. Les fonds doivent provenir 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réponses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à des appels d'offres publics (?) Ces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données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devraient permettre d’aider à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préciser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périmètre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et la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définition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des zones de protection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nécessaires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autour des zones de culture, comme le mentionne la LAAF (Loi d’Avenir de l’Agriculture et de la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Forêt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du 13 octobre </w:t>
      </w:r>
      <w:proofErr w:type="gramStart"/>
      <w:r w:rsidRPr="00F2336A">
        <w:rPr>
          <w:rFonts w:ascii="LiberationSerif" w:eastAsia="Times New Roman" w:hAnsi="LiberationSerif" w:cs="Times New Roman"/>
          <w:lang w:eastAsia="fr-FR"/>
        </w:rPr>
        <w:t>2014 )</w:t>
      </w:r>
      <w:proofErr w:type="gramEnd"/>
      <w:r w:rsidRPr="00F2336A">
        <w:rPr>
          <w:rFonts w:ascii="LiberationSerif" w:eastAsia="Times New Roman" w:hAnsi="LiberationSerif" w:cs="Times New Roman"/>
          <w:lang w:eastAsia="fr-FR"/>
        </w:rPr>
        <w:t xml:space="preserve">, et de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caractériser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la nature et le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mélange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des pesticides (effet cocktail) auxquels les riverains de zones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pomicoles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sont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exposés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Claire COLLINS (Limoges) ________________________________________________________________________________ </w:t>
      </w:r>
    </w:p>
    <w:p w:rsidR="00F2336A" w:rsidRPr="00F2336A" w:rsidRDefault="00F2336A" w:rsidP="00F2336A">
      <w:pPr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"/var/folders/qk/83krns2d241bvc5jn075mjs40000gp/T/com.microsoft.Word/WebArchiveCopyPasteTempFiles/page10image3628857232"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759710" cy="140335"/>
            <wp:effectExtent l="0" t="0" r="0" b="0"/>
            <wp:docPr id="19" name="Image 19" descr="page10image3628857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ge10image36288572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"/var/folders/qk/83krns2d241bvc5jn075mjs40000gp/T/com.microsoft.Word/WebArchiveCopyPasteTempFiles/page10image3628839296"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743200" cy="1762760"/>
            <wp:effectExtent l="0" t="0" r="0" b="2540"/>
            <wp:docPr id="18" name="Image 18" descr="page10image3628839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10image362883929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"/var/folders/qk/83krns2d241bvc5jn075mjs40000gp/T/com.microsoft.Word/WebArchiveCopyPasteTempFiles/page10image3628895616"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759710" cy="2743200"/>
            <wp:effectExtent l="0" t="0" r="0" b="0"/>
            <wp:docPr id="17" name="Image 17" descr="page10image3628895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ge10image36288956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"/var/folders/qk/83krns2d241bvc5jn075mjs40000gp/T/com.microsoft.Word/WebArchiveCopyPasteTempFiles/page10image3628850592"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743200" cy="1762760"/>
            <wp:effectExtent l="0" t="0" r="0" b="2540"/>
            <wp:docPr id="16" name="Image 16" descr="page10image3628850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10image362885059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"/var/folders/qk/83krns2d241bvc5jn075mjs40000gp/T/com.microsoft.Word/WebArchiveCopyPasteTempFiles/page10image3628904640"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189230" cy="1260475"/>
            <wp:effectExtent l="0" t="0" r="1270" b="0"/>
            <wp:docPr id="15" name="Image 15" descr="page10image3628904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ge10image36289046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lastRenderedPageBreak/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"/var/folders/qk/83krns2d241bvc5jn075mjs40000gp/T/com.microsoft.Word/WebArchiveCopyPasteTempFiles/page10image3628889168"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304800" cy="1260475"/>
            <wp:effectExtent l="0" t="0" r="0" b="0"/>
            <wp:docPr id="14" name="Image 14" descr="page10image3628889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ge10image362888916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"/var/folders/qk/83krns2d241bvc5jn075mjs40000gp/T/com.microsoft.Word/WebArchiveCopyPasteTempFiles/page10image3628845856"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257425" cy="1260475"/>
            <wp:effectExtent l="0" t="0" r="3175" b="0"/>
            <wp:docPr id="13" name="Image 13" descr="page10image3628845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ge10image362884585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"/var/folders/qk/83krns2d241bvc5jn075mjs40000gp/T/com.microsoft.Word/WebArchiveCopyPasteTempFiles/page10image3628837664"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3542030" cy="41275"/>
            <wp:effectExtent l="0" t="0" r="1270" b="0"/>
            <wp:docPr id="12" name="Image 12" descr="page10image3628837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age10image362883766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"/var/folders/qk/83krns2d241bvc5jn075mjs40000gp/T/com.microsoft.Word/WebArchiveCopyPasteTempFiles/page10image3628845440"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3542030" cy="683895"/>
            <wp:effectExtent l="0" t="0" r="1270" b="1905"/>
            <wp:docPr id="11" name="Image 11" descr="page10image3628845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ge10image36288454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"/var/folders/qk/83krns2d241bvc5jn075mjs40000gp/T/com.microsoft.Word/WebArchiveCopyPasteTempFiles/page10image3628846176"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41275" cy="683895"/>
            <wp:effectExtent l="0" t="0" r="0" b="1905"/>
            <wp:docPr id="10" name="Image 10" descr="page10image3628846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10image362884617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"/var/folders/qk/83krns2d241bvc5jn075mjs40000gp/T/com.microsoft.Word/WebArchiveCopyPasteTempFiles/page10image3628858912"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41275" cy="683895"/>
            <wp:effectExtent l="0" t="0" r="0" b="1905"/>
            <wp:docPr id="9" name="Image 9" descr="page10image3628858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ge10image36288589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sz w:val="32"/>
          <w:szCs w:val="32"/>
          <w:lang w:eastAsia="fr-FR"/>
        </w:rPr>
        <w:t xml:space="preserve">Alerte des </w:t>
      </w:r>
      <w:proofErr w:type="spellStart"/>
      <w:r w:rsidRPr="00F2336A">
        <w:rPr>
          <w:rFonts w:ascii="LiberationSerif" w:eastAsia="Times New Roman" w:hAnsi="LiberationSerif" w:cs="Times New Roman"/>
          <w:sz w:val="32"/>
          <w:szCs w:val="32"/>
          <w:lang w:eastAsia="fr-FR"/>
        </w:rPr>
        <w:t>Médecins</w:t>
      </w:r>
      <w:proofErr w:type="spellEnd"/>
      <w:r w:rsidRPr="00F2336A">
        <w:rPr>
          <w:rFonts w:ascii="LiberationSerif" w:eastAsia="Times New Roman" w:hAnsi="LiberationSerif" w:cs="Times New Roman"/>
          <w:sz w:val="32"/>
          <w:szCs w:val="32"/>
          <w:lang w:eastAsia="fr-FR"/>
        </w:rPr>
        <w:t xml:space="preserve"> sur Les Pesticides </w:t>
      </w:r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 xml:space="preserve">18 rue </w:t>
      </w:r>
      <w:proofErr w:type="spellStart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>Séverine</w:t>
      </w:r>
      <w:proofErr w:type="spellEnd"/>
      <w:r w:rsidRPr="00F2336A">
        <w:rPr>
          <w:rFonts w:ascii="LiberationSerif" w:eastAsia="Times New Roman" w:hAnsi="LiberationSerif" w:cs="Times New Roman"/>
          <w:sz w:val="28"/>
          <w:szCs w:val="28"/>
          <w:lang w:eastAsia="fr-FR"/>
        </w:rPr>
        <w:t xml:space="preserve"> – 87000 Limoges </w:t>
      </w:r>
    </w:p>
    <w:p w:rsidR="00F2336A" w:rsidRPr="00F2336A" w:rsidRDefault="00F2336A" w:rsidP="00F2336A">
      <w:pPr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"/var/folders/qk/83krns2d241bvc5jn075mjs40000gp/T/com.microsoft.Word/WebArchiveCopyPasteTempFiles/page10image3628847680"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3542030" cy="41275"/>
            <wp:effectExtent l="0" t="0" r="1270" b="0"/>
            <wp:docPr id="8" name="Image 8" descr="page10image3628847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10image362884768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"/var/folders/qk/83krns2d241bvc5jn075mjs40000gp/T/com.microsoft.Word/WebArchiveCopyPasteTempFiles/page10image3628853216"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759710" cy="354330"/>
            <wp:effectExtent l="0" t="0" r="0" b="1270"/>
            <wp:docPr id="7" name="Image 7" descr="page10image3628853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0image36288532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"/var/folders/qk/83krns2d241bvc5jn075mjs40000gp/T/com.microsoft.Word/WebArchiveCopyPasteTempFiles/page10image3628853408"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759710" cy="2743200"/>
            <wp:effectExtent l="0" t="0" r="0" b="0"/>
            <wp:docPr id="6" name="Image 6" descr="page10image3628853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age10image362885340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"/var/folders/qk/83krns2d241bvc5jn075mjs40000gp/T/com.microsoft.Word/WebArchiveCopyPasteTempFiles/page10image3628907248"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305425" cy="568325"/>
            <wp:effectExtent l="0" t="0" r="3175" b="3175"/>
            <wp:docPr id="5" name="Image 5" descr="page10image3628907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age10image362890724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lastRenderedPageBreak/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"/var/folders/qk/83krns2d241bvc5jn075mjs40000gp/T/com.microsoft.Word/WebArchiveCopyPasteTempFiles/page10image3628907440"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305425" cy="2743200"/>
            <wp:effectExtent l="0" t="0" r="3175" b="0"/>
            <wp:docPr id="4" name="Image 4" descr="page10image3628907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age10image362890744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"/var/folders/qk/83krns2d241bvc5jn075mjs40000gp/T/com.microsoft.Word/WebArchiveCopyPasteTempFiles/page10image3628907632"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743200" cy="568325"/>
            <wp:effectExtent l="0" t="0" r="0" b="3175"/>
            <wp:docPr id="3" name="Image 3" descr="page10image3628907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age10image36289076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"/var/folders/qk/83krns2d241bvc5jn075mjs40000gp/T/com.microsoft.Word/WebArchiveCopyPasteTempFiles/page10image3628852464"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743200" cy="568325"/>
            <wp:effectExtent l="0" t="0" r="0" b="3175"/>
            <wp:docPr id="2" name="Image 2" descr="page10image3628852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age10image362885246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t>BULLETIN D’ADHESION</w:t>
      </w:r>
      <w:r w:rsidRPr="00F2336A">
        <w:rPr>
          <w:rFonts w:ascii="LiberationSerif" w:eastAsia="Times New Roman" w:hAnsi="LiberationSerif" w:cs="Times New Roman"/>
          <w:b/>
          <w:bCs/>
          <w:sz w:val="28"/>
          <w:szCs w:val="28"/>
          <w:lang w:eastAsia="fr-FR"/>
        </w:rPr>
        <w:br/>
        <w:t xml:space="preserve">ALERTE DES MEDECINS SUR LES PESTICIDES </w:t>
      </w:r>
    </w:p>
    <w:p w:rsidR="00F2336A" w:rsidRPr="00F2336A" w:rsidRDefault="00F2336A" w:rsidP="00F2336A">
      <w:pPr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2336A">
        <w:rPr>
          <w:rFonts w:ascii="Times New Roman" w:eastAsia="Times New Roman" w:hAnsi="Times New Roman" w:cs="Times New Roman"/>
          <w:lang w:eastAsia="fr-FR"/>
        </w:rPr>
        <w:instrText xml:space="preserve"> INCLUDEPICTURE "/var/folders/qk/83krns2d241bvc5jn075mjs40000gp/T/com.microsoft.Word/WebArchiveCopyPasteTempFiles/page10image3628877856" \* MERGEFORMATINET </w:instrText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F2336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305425" cy="2743200"/>
            <wp:effectExtent l="0" t="0" r="3175" b="0"/>
            <wp:docPr id="1" name="Image 1" descr="page10image3628877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age10image362887785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36A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>NOM</w:t>
      </w:r>
      <w:proofErr w:type="gramStart"/>
      <w:r w:rsidRPr="00F2336A">
        <w:rPr>
          <w:rFonts w:ascii="LiberationSerif" w:eastAsia="Times New Roman" w:hAnsi="LiberationSerif" w:cs="Times New Roman"/>
          <w:lang w:eastAsia="fr-FR"/>
        </w:rPr>
        <w:t xml:space="preserve"> :...................................................................</w:t>
      </w:r>
      <w:proofErr w:type="gram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>PRÉNOM</w:t>
      </w:r>
      <w:proofErr w:type="gramStart"/>
      <w:r w:rsidRPr="00F2336A">
        <w:rPr>
          <w:rFonts w:ascii="LiberationSerif" w:eastAsia="Times New Roman" w:hAnsi="LiberationSerif" w:cs="Times New Roman"/>
          <w:lang w:eastAsia="fr-FR"/>
        </w:rPr>
        <w:t xml:space="preserve"> :.............................................................</w:t>
      </w:r>
      <w:proofErr w:type="gramEnd"/>
      <w:r w:rsidRPr="00F2336A">
        <w:rPr>
          <w:rFonts w:ascii="LiberationSerif" w:eastAsia="Times New Roman" w:hAnsi="LiberationSerif" w:cs="Times New Roman"/>
          <w:lang w:eastAsia="fr-FR"/>
        </w:rPr>
        <w:br/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Spécialite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>́ :.............................................................</w:t>
      </w:r>
      <w:r w:rsidRPr="00F2336A">
        <w:rPr>
          <w:rFonts w:ascii="LiberationSerif" w:eastAsia="Times New Roman" w:hAnsi="LiberationSerif" w:cs="Times New Roman"/>
          <w:lang w:eastAsia="fr-FR"/>
        </w:rPr>
        <w:br/>
        <w:t xml:space="preserve">Adresse :.............................................................................................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>................................................................................................ Code postal</w:t>
      </w:r>
      <w:proofErr w:type="gramStart"/>
      <w:r w:rsidRPr="00F2336A">
        <w:rPr>
          <w:rFonts w:ascii="LiberationSerif" w:eastAsia="Times New Roman" w:hAnsi="LiberationSerif" w:cs="Times New Roman"/>
          <w:lang w:eastAsia="fr-FR"/>
        </w:rPr>
        <w:t xml:space="preserve"> :...................</w:t>
      </w:r>
      <w:proofErr w:type="gramEnd"/>
      <w:r w:rsidRPr="00F2336A">
        <w:rPr>
          <w:rFonts w:ascii="LiberationSerif" w:eastAsia="Times New Roman" w:hAnsi="LiberationSerif" w:cs="Times New Roman"/>
          <w:lang w:eastAsia="fr-FR"/>
        </w:rPr>
        <w:t xml:space="preserve"> Commune</w:t>
      </w:r>
      <w:proofErr w:type="gramStart"/>
      <w:r w:rsidRPr="00F2336A">
        <w:rPr>
          <w:rFonts w:ascii="LiberationSerif" w:eastAsia="Times New Roman" w:hAnsi="LiberationSerif" w:cs="Times New Roman"/>
          <w:lang w:eastAsia="fr-FR"/>
        </w:rPr>
        <w:t xml:space="preserve"> :.....................................</w:t>
      </w:r>
      <w:proofErr w:type="gramEnd"/>
      <w:r w:rsidRPr="00F2336A">
        <w:rPr>
          <w:rFonts w:ascii="LiberationSerif" w:eastAsia="Times New Roman" w:hAnsi="LiberationSerif" w:cs="Times New Roman"/>
          <w:lang w:eastAsia="fr-FR"/>
        </w:rPr>
        <w:t xml:space="preserve"> ................ Tel</w:t>
      </w:r>
      <w:proofErr w:type="gramStart"/>
      <w:r w:rsidRPr="00F2336A">
        <w:rPr>
          <w:rFonts w:ascii="LiberationSerif" w:eastAsia="Times New Roman" w:hAnsi="LiberationSerif" w:cs="Times New Roman"/>
          <w:lang w:eastAsia="fr-FR"/>
        </w:rPr>
        <w:t xml:space="preserve"> :.................................</w:t>
      </w:r>
      <w:proofErr w:type="gramEnd"/>
      <w:r w:rsidRPr="00F2336A">
        <w:rPr>
          <w:rFonts w:ascii="LiberationSerif" w:eastAsia="Times New Roman" w:hAnsi="LiberationSerif" w:cs="Times New Roman"/>
          <w:lang w:eastAsia="fr-FR"/>
        </w:rPr>
        <w:br/>
        <w:t xml:space="preserve">Mail :...........................................................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lastRenderedPageBreak/>
        <w:t>J’ai lu et j’accepte les statuts de l’association.</w:t>
      </w:r>
      <w:r w:rsidRPr="00F2336A">
        <w:rPr>
          <w:rFonts w:ascii="LiberationSerif" w:eastAsia="Times New Roman" w:hAnsi="LiberationSerif" w:cs="Times New Roman"/>
          <w:lang w:eastAsia="fr-FR"/>
        </w:rPr>
        <w:br/>
        <w:t xml:space="preserve">Je demande mon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adhésion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à « Alerte des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Médecins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sur Les Pesticides ».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Cotisation annuelle : 23 €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chèque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virement Date et signature :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Règlement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par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chèque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à l’ordre de : AMLP</w:t>
      </w:r>
      <w:r w:rsidRPr="00F2336A">
        <w:rPr>
          <w:rFonts w:ascii="LiberationSerif" w:eastAsia="Times New Roman" w:hAnsi="LiberationSerif" w:cs="Times New Roman"/>
          <w:lang w:eastAsia="fr-FR"/>
        </w:rPr>
        <w:br/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Chèque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et bulletin d’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adhésion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à adresser au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trésorier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: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336A">
        <w:rPr>
          <w:rFonts w:ascii="LiberationSerif" w:eastAsia="Times New Roman" w:hAnsi="LiberationSerif" w:cs="Times New Roman"/>
          <w:lang w:eastAsia="fr-FR"/>
        </w:rPr>
        <w:t xml:space="preserve">Joseph Mazé, 5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ch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des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châtaigniers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, 87460 BUJALEUF </w:t>
      </w:r>
    </w:p>
    <w:p w:rsidR="00F2336A" w:rsidRPr="00F2336A" w:rsidRDefault="00F2336A" w:rsidP="00F233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Règlement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par virement sur le compte :</w:t>
      </w:r>
      <w:r w:rsidRPr="00F2336A">
        <w:rPr>
          <w:rFonts w:ascii="LiberationSerif" w:eastAsia="Times New Roman" w:hAnsi="LiberationSerif" w:cs="Times New Roman"/>
          <w:lang w:eastAsia="fr-FR"/>
        </w:rPr>
        <w:br/>
        <w:t>AMLP - RIB : 42559 00045 410200331442 79</w:t>
      </w:r>
      <w:r w:rsidRPr="00F2336A">
        <w:rPr>
          <w:rFonts w:ascii="LiberationSerif" w:eastAsia="Times New Roman" w:hAnsi="LiberationSerif" w:cs="Times New Roman"/>
          <w:lang w:eastAsia="fr-FR"/>
        </w:rPr>
        <w:br/>
        <w:t>(bulletin d’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adhésion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à adresser au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trésorier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également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soit par la poste, soit par courrier </w:t>
      </w:r>
      <w:proofErr w:type="spellStart"/>
      <w:r w:rsidRPr="00F2336A">
        <w:rPr>
          <w:rFonts w:ascii="LiberationSerif" w:eastAsia="Times New Roman" w:hAnsi="LiberationSerif" w:cs="Times New Roman"/>
          <w:lang w:eastAsia="fr-FR"/>
        </w:rPr>
        <w:t>électronique</w:t>
      </w:r>
      <w:proofErr w:type="spellEnd"/>
      <w:r w:rsidRPr="00F2336A">
        <w:rPr>
          <w:rFonts w:ascii="LiberationSerif" w:eastAsia="Times New Roman" w:hAnsi="LiberationSerif" w:cs="Times New Roman"/>
          <w:lang w:eastAsia="fr-FR"/>
        </w:rPr>
        <w:t xml:space="preserve"> à : </w:t>
      </w:r>
      <w:proofErr w:type="gramStart"/>
      <w:r w:rsidRPr="00F2336A">
        <w:rPr>
          <w:rFonts w:ascii="LiberationSerif" w:eastAsia="Times New Roman" w:hAnsi="LiberationSerif" w:cs="Times New Roman"/>
          <w:color w:val="00007F"/>
          <w:lang w:eastAsia="fr-FR"/>
        </w:rPr>
        <w:t xml:space="preserve">jo.maze@laposte.net </w:t>
      </w:r>
      <w:r w:rsidRPr="00F2336A">
        <w:rPr>
          <w:rFonts w:ascii="LiberationSerif" w:eastAsia="Times New Roman" w:hAnsi="LiberationSerif" w:cs="Times New Roman"/>
          <w:lang w:eastAsia="fr-FR"/>
        </w:rPr>
        <w:t>)</w:t>
      </w:r>
      <w:proofErr w:type="gramEnd"/>
      <w:r w:rsidRPr="00F2336A">
        <w:rPr>
          <w:rFonts w:ascii="LiberationSerif" w:eastAsia="Times New Roman" w:hAnsi="LiberationSerif" w:cs="Times New Roman"/>
          <w:lang w:eastAsia="fr-FR"/>
        </w:rPr>
        <w:t xml:space="preserve"> </w:t>
      </w:r>
    </w:p>
    <w:p w:rsidR="00F2336A" w:rsidRDefault="00F2336A"/>
    <w:sectPr w:rsidR="00F2336A" w:rsidSect="00635C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6A"/>
    <w:rsid w:val="00635C92"/>
    <w:rsid w:val="00F2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0F3BD9B-B299-834D-B4AC-571F6318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3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23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2336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2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2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9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7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2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5271</Words>
  <Characters>28995</Characters>
  <Application>Microsoft Office Word</Application>
  <DocSecurity>0</DocSecurity>
  <Lines>241</Lines>
  <Paragraphs>68</Paragraphs>
  <ScaleCrop>false</ScaleCrop>
  <Company/>
  <LinksUpToDate>false</LinksUpToDate>
  <CharactersWithSpaces>34198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maclouf</dc:creator>
  <cp:keywords/>
  <dc:description/>
  <cp:lastModifiedBy>jean maclouf</cp:lastModifiedBy>
  <cp:revision>1</cp:revision>
  <dcterms:created xsi:type="dcterms:W3CDTF">2020-04-09T08:49:00Z</dcterms:created>
  <dcterms:modified xsi:type="dcterms:W3CDTF">2020-04-09T08:51:00Z</dcterms:modified>
</cp:coreProperties>
</file>